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91 vom 11. Februar 2022</w:t>
      </w:r>
    </w:p>
    <w:p>
      <w:r>
        <w:t>VS Kantonsgericht, 2022-02-11, DE</w:t>
      </w:r>
    </w:p>
    <w:p>
      <w:r>
        <w:rPr>
          <w:b/>
        </w:rPr>
        <w:t xml:space="preserve">Quelle: </w:t>
      </w:r>
      <w:r>
        <w:t>https://mcp.opencaselaw.ch/entscheid/vs_gerichte_S2 21 91</w:t>
      </w:r>
    </w:p>
    <w:p>
      <w:r>
        <w:t>FR: VS_GERICHTE S2 21 91 du 11 février 2022</w:t>
      </w:r>
    </w:p>
    <w:p>
      <w:r>
        <w:t>IT: VS_GERICHTE S2 21 91 del 11 febbraio 2022</w:t>
      </w:r>
    </w:p>
    <w:p>
      <w:pPr>
        <w:pStyle w:val="Heading2"/>
      </w:pPr>
      <w:r>
        <w:t>Regeste</w:t>
      </w:r>
    </w:p>
    <w:p>
      <w:r>
        <w:t>S2 21 91 URTEIL VOM 11. FEBRUAR 2022 Kantonsgericht Wallis Sozialversicherungsrechtliche Abteilung Besetzung: Dr. Thierry Schnyder, Präsident; Candido Prada und Thomas Brunner, Kantonsrichter; Petra Stoffel, Gerichtsschreiberin in Sachen X _________, Beschwerdeführer, vertreten durch A _________ gegen SCHWEIZERISCHE UNFALLVERSICHERUNG (SUVA), 6002 Luzern, Beschwerde- gegnerin (Verwertbarkeit/Alter) Beschwerde gegen den Entscheid vom 6. Juli 2021</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hat seinen Wohnsitz im Wallis, weshalb die Sozialversicherungsrechtliche Abteilung des Kantonsgerichts ge- stützt auf Art. 7 Abs. 2 des Gesetzes über die Rechtspflege vom 11. Februar 2009 (RPflG), Art. 58 Abs. 1 ATSG i.V.m. Art. 1 Abs. 2 des Verfahrensreglements vom 2. Oktober 2001 (RVG) und Art. 81a des Gesetzes über das Verwaltungsverfahren und die Verwaltungsrechtspflege vom 6. Oktober 1976 (VVRG) als kantonales Versicherungs- gericht für die Behandlung von Beschwerden auf dem Gebiet des Sozialversicherungs- rechts zuständig ist (BGE 127 V 176 E. 2). Der Beschwerdeführer ist durch den Ein- spracheentscheid berührt und hat ein schutzwürdiges Interesse an dessen Aufhebung, weshalb auf seine form- und fristgerecht eingereichte Beschwerde einzutreten ist (Art. 59, Art. 60 i.V.m. Art. 38 ATSG).</w:t>
      </w:r>
    </w:p>
    <w:p>
      <w:r>
        <w:t>- 4 -</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ist, ob die Beschwerdegegnerin Bundesrecht verletzt hat, indem sie dem Beschwerdeführer ab dem 30. April 2021 eine Invalidenrente bei einem Invaliditätsgrad von 34.07% bzw. 40% zusprach. Der Beschwerdeführer bringt dagegen einzig vor, auf- grund seines Alters sei es ihm nicht mehr möglich, eine allenfalls bestehende Restar- beitsfähigkeit auf dem ausgeglichenen Arbeitsmarkt zu verwerten.</w:t>
      </w:r>
    </w:p>
    <w:p>
      <w:r>
        <w:rPr>
          <w:b/>
        </w:rPr>
        <w:t>E. 3.1</w:t>
      </w:r>
    </w:p>
    <w:p>
      <w:r>
        <w:t>Wird die versicherte Person infolge eines Unfalles zu mindestens 10 % invalid, so hat sie Anspruch auf eine Invalidenrente, sofern sich der Unfall vor Erreichen des or- dentlichen Rentenalters ereignet hat (Art. 18 Abs. 1 UVG). Zur Bestimmung des Invali- ditätsgrades wird gemäss Art. 16 ATSG das Erwerbseinkommen, das die versicherte Person nach Eintritt der (unfallbedingten) Invalidität und nach Durchführung der medizi- nischen Behandlung und allfälliger Eingliederungsmassnahmen durch eine ihr zumut- bare Tätigkeit bei ausgeglichener Arbeitsmarktlage erzielen könnte (sog. Invalidenein- kommen), in Beziehung zum Erwerbseinkommen gesetzt, das sie erzielen könnte, wenn sie nicht invalid geworden wäre (sog. Valideneinkommen). Nach Art. 18 Abs. 2 UVG regelt der Bundesrat die Bemessung des Invaliditätsgrades in Sonderfällen. Dieser hat gestützt auf Art. 18 Abs. 2 UVG in Art. 28 Abs. 4 UVV eine besondere Regelung getroffen für die Ermittlung des Invaliditätsgrades bei Versicherten, welche die Erwerbstätigkeit nach dem Unfall altershalber nicht mehr aufnehmen (Variante I) oder bei denen sich das vorgerückte Alter erheblich als Ursache der Beeinträchtigung der Erwerbsfähigkeit aus- wirkt (Variante II). In diesen Fällen sind gemäss Art. 28 Abs. 4 UVV für die Bestimmung des Invaliditätsgrades die Erwerbseinkommen massgebend, die eine versicherte Person im mittleren Alter bei einer entsprechenden Gesundheitsschädigung erzielen könnte (Bundesgerichtsurteil 8C_799/2019 vom 17. März 2020 E. 2.3). Nach der Rechtspre- chung liegt das mittlere Alter im Sinne dieser Bestimmung bei etwa «42 Jahren» oder</w:t>
      </w:r>
    </w:p>
    <w:p>
      <w:r>
        <w:t>- 5 - zwischen «40 und 45 Jahren» und das vorgerückte Alter im Bereich von «rund 60 Jah- ren», wobei für letztes der Zeitpunkt des Rentenbeginns massgebend ist (BGE 122 V 418 E. 1b, 122 V 426). Art. 28 Abs. 4 UVV ist gesetzmässig (BGE 122 V 426 E. 6e, 113 V 132 E. 4).</w:t>
      </w:r>
    </w:p>
    <w:p>
      <w:r>
        <w:rPr>
          <w:b/>
        </w:rPr>
        <w:t>E. 3.2</w:t>
      </w:r>
    </w:p>
    <w:p>
      <w:r>
        <w:t>Für die Bestimmung des Invalideneinkommens können nach der Rechtsprechung LSE Tabellenlöhne herangezogen werden (BGE 139 V 592 E. 2.3, 135 V 297 E. 5.2, 129 V 472 E. 4.2.1).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Bun- desgerichtsurteil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 weise nicht mehr nachgefragt wird, und dass ihr deren Verwertung auch gestützt auf die Selbsteingliederungspflicht nicht mehr zumutbar ist. Der Einfluss des Lebensalters auf die Möglichkeit, das verbliebene Leistungsvermögen auf dem ausgeglichenen Arbeits- markt zu verwerten, lässt sich nicht nach einer allgemeinen Regel bemessen, sondern hängt von den Umständen des Einzelfalles ab. Massgebend können die Art und Be- schaffenheit des Gesundheitsschadens und seiner Folgen, der absehbare Umstellungs- und Einarbeitungsaufwand und in diesem Zusammenhang auch Persönlichkeitsstruktur, vorhandene Begabungen und Fertigkeiten, Ausbildung, beruflicher Werdegang oder An- wendbarkeit von Berufserfahrung aus dem angestammten Bereich sein (BGE 138 V 457 E. 3.1 mit Hinweisen). Die Möglichkeit, die verbliebene Arbeitsfähigkeit auf dem ausge- glichenen Arbeitsmarkt zu verwerten, hängt nicht zuletzt davon ab, welcher Zeitraum der versicherten Person für eine berufliche Tätigkeit und vor allem auch für einen allfälligen Berufswechsel noch zur Verfügung steht (BGE 138 V 457 E. 3.2 mit Hinweisen; vgl. statt vieler: Bundesgerichtsurteil 8C_645/2017 vom 23. Januar 2018 E. 3.1 mit Hinweisen). Das Bundesgericht erachtet das Alter als Kriterium, das gegen die Verwertbarkeit der Restarbeitsfähigkeit sprechen könnte, bei Männern ab dem 61. Altersjahr als möglicher- weise relevant, behandelt es faktisch jedoch erst ab Alter 64 als die Verwertbarkeit ein- schränkend (Philipp Egli, Martina Filippo, Thomas Gächter, Michael E. Meier: Grund- probleme der Invaliditätsbemessung, Zürich 2021, Rz 154).</w:t>
      </w:r>
    </w:p>
    <w:p>
      <w:r>
        <w:t>- 6 - Ein fortgeschrittenes Alter allein wird vom Bundesgericht nicht als Grund für einen Abzug vom Tabellenlohn erachtet (Egli, a.a.O., Rz 527). In einigen Fällen hat es bei fortge- schrittenem Alter, wenn anderweitige erschwerende Umstände hinzukamen, einen Ab- zug von zumeist 10 % (Egli, a.a.O., Rz 502 ff.) oder 15 % (Egli, a.a.O., Rz 507 f.) ge- währt.</w:t>
      </w:r>
    </w:p>
    <w:p>
      <w:r>
        <w:rPr>
          <w:b/>
        </w:rPr>
        <w:t>E. 3.3</w:t>
      </w:r>
    </w:p>
    <w:p>
      <w:r>
        <w:t>Das vom Kreisarzt formulierte Belastungsprofil umfasst leichte, überwiegend sit- zende Tätigkeiten ohne grössere Gewichtsbelastungen, ohne Gehen auf unebenem Bo- den, ohne Knien, häufiges Treppensteigen oder Begehen von Leitern oder Gerüsten, ohne Heben und Tragen von Lasten oberhalb von 1 Kg, ohne Zwangshaltungen für die HWS oder mit erheblichen Vibrations- oder Schlagbelastungen auf den linken Arm (vgl. S. 309 ff., S. 314 ff, S. 323 ff., S. 358 ff.). Für solche Tätigkeiten besteht eine 100%ige Arbeitsfähigkeit. Der Beschwerdeführer macht geltend, der Verwertbarkeit dieser Arbeitsfähigkeit stehe sein vorgerücktes Alter entgegen, dass im Zeitpunkt der Verfügung keine 2 Jahre bis zur Pensionierung betragen habe. Das widerspricht der – strengen – bundesgerichtlichen Rechtsprechung, die im Ergebnis bei Männer erst ab Alter 64 eine Unverwertbarkeit an- nimmt (vgl. vorstehend E. 3.2). Die vom Beschwerdeführer zitierte Rechtsprechung bezieht sich weiter auf eine Invaliditätsberechnung im Bereich der Invalidenversicherung, weshalb er daraus nichts zu seinen Gunsten abzuleiten vermag. Auch die übrigen Einwände des Beschwerdeführers vermögen daran nichts zu ändern. Entgegen dem Versicherten gilt die Rechtsprechung, wonach die Unverwertbarkeit einer Restarbeitsfähigkeit wegen des fortgeschrittenen Alters zu berücksichtigen wäre, in der Unfallversicherung nicht (vgl. Bundesgerichtsurteil 8C_732/2018 vom 26. März 2019 E. 7.2). Im Gegensatz zur Invalidenversicherung besteht der Rentenanspruch im Bereich der obligatorischen Unfallversicherung über das Erreichen des AHV-Alters hinaus bis zum Tod. Auch ohne lange Umstellungs- und Einarbeitungszeit beinhaltet schliesslich der Arbeitsmarkt Stellen, die für den Beschwerdeführer in Frage kommen. Es gilt nämlich zu berücksichtigen, wie dies die Beschwerdegegnerin zu Recht ausgeführt hat, dass der als ausgeglichen zu unterstellende – also gerade nicht der reale – Arbeitsmarkt im untersten Lohnsegment in ausreichender Zahl Stellen bietet, welche dem gutachterlichen Belastungsprofil, das im Ergebnis hauptsächlich körperlich mittelschwere und schwere Tätigkeiten ausschliesst, entsprechen. Dies gilt umsomehr für Nischenarbeitsplätze, bei welchen behinderte Personen mit einem sozialen Entgegenkommen seitens des Arbeitsgebers rechnen können. Somit kann der Beschwerdeführer das ihm verbleibende Leistungsvermögen verwerten.</w:t>
      </w:r>
    </w:p>
    <w:p>
      <w:r>
        <w:t>- 7 - Damit erweist sich die von der Beschwerdegegnerin vorgenommene Invaliditätsbemessung als zutreffend, dies auch ohne dass auf die Ausnahmeregelung von Art. 28 abs. 4 UVV Bezug genommen zu werden braucht.</w:t>
      </w:r>
    </w:p>
    <w:p>
      <w:r>
        <w:rPr>
          <w:b/>
        </w:rPr>
        <w:t>E. 3.4</w:t>
      </w:r>
    </w:p>
    <w:p>
      <w:r>
        <w:t>Der Beschwerdeführer stellt den Beweisantrag der Edition der IV-Akten. Im Rahmen des Beschwerdeverfahrens wurden die Akten der Vorinstanz ediert. Diese enthalten die entscheidrelevanten Sachverhaltselemente. Das Gericht betrachtet in antizipierter Be- weiswürdigung den rechtserheblichen Sachverhalt als überwiegend wahrscheinlich er- stellt. Weitere Beweismassnahmen vermögen an diesem feststehenden Ergebnis nichts mehr zu ändern, zumal in casu einzig die Frage der Verwertbarkeit der Restarbeitsfähig- keit strittig ist und dem Gesichtspunkt, dass die von der Invalidenversicherung vorge- nommene Invaliditätsbemessung keine Bindungswirkung entfaltet (BGE 133 V 549 E. 6.3). Die vom Beschwerdeführer beantragte Edition der IV-Akten ist deshalb nicht erfor- derlich (vgl. BGE 136 I 229 E. 5.3) und wird im Rahmen antizipierter Beweiswürdigung abgewiesen.</w:t>
      </w:r>
    </w:p>
    <w:p>
      <w:r>
        <w:rPr>
          <w:b/>
        </w:rPr>
        <w:t>E. 4</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Das Verfahren ist kostenlos (Art. 61 lit. a ATSG; Das Spezialgesetz, in casu UVG, sieht keine Kostenerhebung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